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A1A1A"/>
          <w:sz w:val="36"/>
        </w:rPr>
        <w:t>Checklist dossier administratif — marchés publics Maroc 2026</w:t>
      </w:r>
    </w:p>
    <w:p>
      <w:r>
        <w:rPr>
          <w:i/>
          <w:color w:val="808080"/>
        </w:rPr>
        <w:t>Modèle Ofrema · à dupliquer pour chaque appel d'offres</w:t>
      </w:r>
    </w:p>
    <w:p/>
    <w:p>
      <w:r>
        <w:rPr>
          <w:b/>
          <w:color w:val="C96442"/>
          <w:sz w:val="26"/>
        </w:rPr>
        <w:t>1. Identité &amp; forme juridique</w:t>
      </w:r>
    </w:p>
    <w:p>
      <w:pPr>
        <w:pStyle w:val="ListBullet"/>
      </w:pPr>
      <w:r>
        <w:t>☐  Statuts à jour de la société (dernières modifications déposées)</w:t>
      </w:r>
    </w:p>
    <w:p>
      <w:pPr>
        <w:pStyle w:val="ListBullet"/>
      </w:pPr>
      <w:r>
        <w:t>☐  Modèle J — extrait du registre du commerce</w:t>
      </w:r>
      <w:r>
        <w:rPr>
          <w:i/>
          <w:color w:val="808080"/>
        </w:rPr>
        <w:t xml:space="preserve">   — validité : 3 mois</w:t>
      </w:r>
    </w:p>
    <w:p>
      <w:pPr>
        <w:pStyle w:val="ListBullet"/>
      </w:pPr>
      <w:r>
        <w:t>☐  CIN du gérant ou du signataire</w:t>
      </w:r>
      <w:r>
        <w:rPr>
          <w:i/>
          <w:color w:val="808080"/>
        </w:rPr>
        <w:t xml:space="preserve">   — validité : en cours de validité</w:t>
      </w:r>
    </w:p>
    <w:p>
      <w:pPr>
        <w:pStyle w:val="ListBullet"/>
      </w:pPr>
      <w:r>
        <w:t>☐  Pouvoir du signataire (si différent du gérant)</w:t>
      </w:r>
    </w:p>
    <w:p>
      <w:r>
        <w:rPr>
          <w:b/>
          <w:color w:val="C96442"/>
          <w:sz w:val="26"/>
        </w:rPr>
        <w:t>2. Conformité fiscale &amp; sociale</w:t>
      </w:r>
    </w:p>
    <w:p>
      <w:pPr>
        <w:pStyle w:val="ListBullet"/>
      </w:pPr>
      <w:r>
        <w:t>☐  Attestation fiscale (DGI)</w:t>
      </w:r>
      <w:r>
        <w:rPr>
          <w:i/>
          <w:color w:val="808080"/>
        </w:rPr>
        <w:t xml:space="preserve">   — validité : 3 mois</w:t>
      </w:r>
    </w:p>
    <w:p>
      <w:pPr>
        <w:pStyle w:val="ListBullet"/>
      </w:pPr>
      <w:r>
        <w:t>☐  Attestation CNSS</w:t>
      </w:r>
      <w:r>
        <w:rPr>
          <w:i/>
          <w:color w:val="808080"/>
        </w:rPr>
        <w:t xml:space="preserve">   — validité : 3 mois</w:t>
      </w:r>
    </w:p>
    <w:p>
      <w:pPr>
        <w:pStyle w:val="ListBullet"/>
      </w:pPr>
      <w:r>
        <w:t>☐  Attestation d'inscription à la Taxe Professionnelle</w:t>
      </w:r>
    </w:p>
    <w:p>
      <w:pPr>
        <w:pStyle w:val="ListBullet"/>
      </w:pPr>
      <w:r>
        <w:t>☐  Quitus fiscal (si exigé)</w:t>
      </w:r>
    </w:p>
    <w:p>
      <w:r>
        <w:rPr>
          <w:b/>
          <w:color w:val="C96442"/>
          <w:sz w:val="26"/>
        </w:rPr>
        <w:t>3. Engagement</w:t>
      </w:r>
    </w:p>
    <w:p>
      <w:pPr>
        <w:pStyle w:val="ListBullet"/>
      </w:pPr>
      <w:r>
        <w:t>☐  Déclaration sur l'honneur signée et paraphée à chaque page</w:t>
      </w:r>
    </w:p>
    <w:p>
      <w:pPr>
        <w:pStyle w:val="ListBullet"/>
      </w:pPr>
      <w:r>
        <w:t>☐  Acte d'engagement rempli, signé, daté</w:t>
      </w:r>
    </w:p>
    <w:p>
      <w:r>
        <w:rPr>
          <w:b/>
          <w:color w:val="C96442"/>
          <w:sz w:val="26"/>
        </w:rPr>
        <w:t>4. Garanties financières</w:t>
      </w:r>
    </w:p>
    <w:p>
      <w:pPr>
        <w:pStyle w:val="ListBullet"/>
      </w:pPr>
      <w:r>
        <w:t>☐  Cautionnement provisoire (bancaire, espèces TGR, ou assurance)</w:t>
      </w:r>
      <w:r>
        <w:rPr>
          <w:i/>
          <w:color w:val="808080"/>
        </w:rPr>
        <w:t xml:space="preserve">   — validité : validité offres + 30 j</w:t>
      </w:r>
    </w:p>
    <w:p>
      <w:pPr>
        <w:pStyle w:val="ListBullet"/>
      </w:pPr>
      <w:r>
        <w:t>☐  Attestation bancaire de capacité financière (si exigée)</w:t>
      </w:r>
    </w:p>
    <w:p>
      <w:pPr>
        <w:pStyle w:val="ListBullet"/>
      </w:pPr>
      <w:r>
        <w:t>☐  Bilans des 3 derniers exercices certifiés (si exigés)</w:t>
      </w:r>
    </w:p>
    <w:p>
      <w:r>
        <w:rPr>
          <w:b/>
          <w:color w:val="C96442"/>
          <w:sz w:val="26"/>
        </w:rPr>
        <w:t>5. Pièces sectorielles (à cocher selon le marché)</w:t>
      </w:r>
    </w:p>
    <w:p>
      <w:pPr>
        <w:pStyle w:val="ListBullet"/>
      </w:pPr>
      <w:r>
        <w:t>☐  BTP — Certificat de qualification et classification</w:t>
      </w:r>
      <w:r>
        <w:rPr>
          <w:i/>
          <w:color w:val="808080"/>
        </w:rPr>
        <w:t xml:space="preserve">   — validité : 3 ans</w:t>
      </w:r>
    </w:p>
    <w:p>
      <w:pPr>
        <w:pStyle w:val="ListBullet"/>
      </w:pPr>
      <w:r>
        <w:t>☐  BTP — Plan HSE</w:t>
      </w:r>
    </w:p>
    <w:p>
      <w:pPr>
        <w:pStyle w:val="ListBullet"/>
      </w:pPr>
      <w:r>
        <w:t>☐  BTP — Attestation d'assurance RC pro + décennale</w:t>
      </w:r>
      <w:r>
        <w:rPr>
          <w:i/>
          <w:color w:val="808080"/>
        </w:rPr>
        <w:t xml:space="preserve">   — validité : 1 an</w:t>
      </w:r>
    </w:p>
    <w:p>
      <w:pPr>
        <w:pStyle w:val="ListBullet"/>
      </w:pPr>
      <w:r>
        <w:t>☐  Études — Agrément Ministère de l'Équipement</w:t>
      </w:r>
    </w:p>
    <w:p>
      <w:pPr>
        <w:pStyle w:val="ListBullet"/>
      </w:pPr>
      <w:r>
        <w:t>☐  Études — CV diplômés des intervenants</w:t>
      </w:r>
    </w:p>
    <w:p>
      <w:pPr>
        <w:pStyle w:val="ListBullet"/>
      </w:pPr>
      <w:r>
        <w:t>☐  Fournitures — Certificat d'origine + fiches techniques (NM/ISO/CE)</w:t>
      </w:r>
    </w:p>
    <w:p>
      <w:pPr>
        <w:pStyle w:val="ListBullet"/>
      </w:pPr>
      <w:r>
        <w:t>☐  TIC — Agréments éditeurs/constructeurs, certifications équipe</w:t>
      </w:r>
    </w:p>
    <w:p>
      <w:r>
        <w:rPr>
          <w:b/>
          <w:color w:val="C96442"/>
          <w:sz w:val="26"/>
        </w:rPr>
        <w:t>6. Vérifications finales avant dépôt</w:t>
      </w:r>
    </w:p>
    <w:p>
      <w:pPr>
        <w:pStyle w:val="ListBullet"/>
      </w:pPr>
      <w:r>
        <w:t>☐  Bénéficiaire du cautionnement = maître d'ouvrage exact</w:t>
      </w:r>
    </w:p>
    <w:p>
      <w:pPr>
        <w:pStyle w:val="ListBullet"/>
      </w:pPr>
      <w:r>
        <w:t>☐  Toutes pages paraphées si exigé</w:t>
      </w:r>
    </w:p>
    <w:p>
      <w:pPr>
        <w:pStyle w:val="ListBullet"/>
      </w:pPr>
      <w:r>
        <w:t>☐  Format PDF + signature électronique conforme (portail PMP)</w:t>
      </w:r>
    </w:p>
    <w:p>
      <w:pPr>
        <w:pStyle w:val="ListBullet"/>
      </w:pPr>
      <w:r>
        <w:t>☐  Taille totale du dossier respectée (vérifier règlement consultation)</w:t>
      </w:r>
    </w:p>
    <w:p/>
    <w:p>
      <w:pPr>
        <w:jc w:val="center"/>
      </w:pPr>
      <w:r>
        <w:rPr>
          <w:i/>
          <w:color w:val="808080"/>
          <w:sz w:val="18"/>
        </w:rPr>
        <w:t>Ofrema — Plateforme de veille et gestion des marchés publics au Maroc · ofrema.com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